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widowControl w:val="false"/>
        <w:jc w:val="center"/>
        <w:rPr>
          <w:sz w:val="29"/>
          <w:szCs w:val="29"/>
        </w:rPr>
      </w:pPr>
      <w:r>
        <w:rPr>
          <w:rFonts w:cs="PT Astra Serif" w:ascii="PT Astra Serif" w:hAnsi="PT Astra Serif"/>
          <w:b/>
          <w:sz w:val="29"/>
          <w:szCs w:val="29"/>
        </w:rPr>
        <w:t>ПОЯСНИТЕЛЬНАЯ ЗАПИСКА</w:t>
      </w:r>
    </w:p>
    <w:p>
      <w:pPr>
        <w:pStyle w:val="BodyText"/>
        <w:spacing w:lineRule="auto" w:line="360" w:before="0" w:after="0"/>
        <w:jc w:val="center"/>
        <w:rPr/>
      </w:pPr>
      <w:r>
        <w:rPr>
          <w:rFonts w:cs="PT Astra Serif" w:ascii="PT Astra Serif" w:hAnsi="PT Astra Serif"/>
          <w:b/>
          <w:bCs/>
          <w:sz w:val="29"/>
          <w:szCs w:val="29"/>
        </w:rPr>
        <w:t xml:space="preserve">к проекту закона Ульяновской области «О внесении изменения </w:t>
      </w:r>
    </w:p>
    <w:p>
      <w:pPr>
        <w:pStyle w:val="BodyText"/>
        <w:spacing w:lineRule="auto" w:line="360" w:before="0" w:after="0"/>
        <w:jc w:val="center"/>
        <w:rPr/>
      </w:pPr>
      <w:r>
        <w:rPr>
          <w:rFonts w:cs="PT Astra Serif" w:ascii="PT Astra Serif" w:hAnsi="PT Astra Serif"/>
          <w:b/>
          <w:bCs/>
          <w:sz w:val="29"/>
          <w:szCs w:val="29"/>
        </w:rPr>
        <w:t xml:space="preserve">в статью 12 Закона Ульяновской области «Об особо охраняемых природных территориях регионального значения Ульяновской области </w:t>
      </w:r>
    </w:p>
    <w:p>
      <w:pPr>
        <w:pStyle w:val="BodyText"/>
        <w:spacing w:lineRule="auto" w:line="360" w:before="0" w:after="0"/>
        <w:jc w:val="center"/>
        <w:rPr/>
      </w:pPr>
      <w:r>
        <w:rPr>
          <w:rFonts w:cs="PT Astra Serif" w:ascii="PT Astra Serif" w:hAnsi="PT Astra Serif"/>
          <w:b/>
          <w:bCs/>
          <w:sz w:val="29"/>
          <w:szCs w:val="29"/>
        </w:rPr>
        <w:t>и об установлении категорий особо охраняемых природных территорий местного значения в Ульяновской области»</w:t>
      </w:r>
    </w:p>
    <w:p>
      <w:pPr>
        <w:pStyle w:val="HTMLPreformatted"/>
        <w:ind w:firstLine="851"/>
        <w:jc w:val="both"/>
        <w:rPr>
          <w:rFonts w:ascii="PT Astra Serif" w:hAnsi="PT Astra Serif" w:cs="PT Astra Serif"/>
          <w:b/>
          <w:kern w:val="2"/>
          <w:sz w:val="29"/>
          <w:szCs w:val="29"/>
          <w:lang w:val="ru-RU"/>
        </w:rPr>
      </w:pPr>
      <w:r>
        <w:rPr>
          <w:rFonts w:cs="PT Astra Serif" w:ascii="PT Astra Serif" w:hAnsi="PT Astra Serif"/>
          <w:b/>
          <w:kern w:val="2"/>
          <w:sz w:val="29"/>
          <w:szCs w:val="29"/>
          <w:lang w:val="ru-RU"/>
        </w:rPr>
      </w:r>
    </w:p>
    <w:p>
      <w:pPr>
        <w:pStyle w:val="HTMLPreformatted"/>
        <w:spacing w:lineRule="auto" w:line="360"/>
        <w:ind w:firstLine="851"/>
        <w:jc w:val="both"/>
        <w:rPr>
          <w:rFonts w:ascii="PT Astra Serif" w:hAnsi="PT Astra Serif" w:cs="PT Astra Serif"/>
          <w:bCs/>
          <w:sz w:val="29"/>
          <w:szCs w:val="29"/>
        </w:rPr>
      </w:pPr>
      <w:r>
        <w:rPr>
          <w:rFonts w:cs="PT Astra Serif" w:ascii="PT Astra Serif" w:hAnsi="PT Astra Serif"/>
          <w:sz w:val="29"/>
          <w:szCs w:val="29"/>
        </w:rPr>
        <w:t xml:space="preserve">Проект закона «О внесении изменения в статью 12 Закона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</w:t>
      </w:r>
      <w:r>
        <w:rPr>
          <w:rFonts w:cs="PT Astra Serif" w:ascii="PT Astra Serif" w:hAnsi="PT Astra Serif"/>
          <w:bCs/>
          <w:sz w:val="29"/>
          <w:szCs w:val="29"/>
        </w:rPr>
        <w:t>(далее - законопроект) разработан в целях актуализации Закона Ульяновской области от 02.11.2020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(далее - Закон № 127-ЗО) в части дополнения его нормой</w:t>
      </w:r>
      <w:r>
        <w:rPr>
          <w:rFonts w:cs="PT Astra Serif" w:ascii="PT Astra Serif" w:hAnsi="PT Astra Serif"/>
          <w:bCs/>
          <w:sz w:val="29"/>
          <w:szCs w:val="29"/>
          <w:lang w:val="ru-RU"/>
        </w:rPr>
        <w:t xml:space="preserve">, регулирующей вопросы </w:t>
      </w:r>
      <w:r>
        <w:rPr>
          <w:rFonts w:cs="PT Astra Serif" w:ascii="PT Astra Serif" w:hAnsi="PT Astra Serif"/>
          <w:bCs/>
          <w:sz w:val="29"/>
          <w:szCs w:val="29"/>
        </w:rPr>
        <w:t>изменения площади и границ особо охраняемых природных территорий (далее - ООПТ).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1" w:right="567" w:gutter="0" w:header="800" w:top="1025" w:footer="713" w:bottom="868"/>
          <w:pgNumType w:start="1" w:fmt="decimal"/>
          <w:formProt w:val="false"/>
          <w:textDirection w:val="lrTb"/>
          <w:docGrid w:type="default" w:linePitch="360" w:charSpace="0"/>
        </w:sectPr>
        <w:pStyle w:val="HTMLPreformatted"/>
        <w:spacing w:lineRule="auto" w:line="360"/>
        <w:ind w:firstLine="851"/>
        <w:jc w:val="both"/>
        <w:rPr>
          <w:rFonts w:ascii="PT Astra Serif" w:hAnsi="PT Astra Serif" w:cs="PT Astra Serif"/>
          <w:bCs/>
          <w:sz w:val="29"/>
          <w:szCs w:val="29"/>
          <w:lang w:val="ru-RU"/>
        </w:rPr>
      </w:pPr>
      <w:r>
        <w:rPr>
          <w:rFonts w:cs="PT Astra Serif" w:ascii="PT Astra Serif" w:hAnsi="PT Astra Serif"/>
          <w:bCs/>
          <w:sz w:val="29"/>
          <w:szCs w:val="29"/>
          <w:lang w:val="ru-RU"/>
        </w:rPr>
        <w:t>Федеральный закон от 14.03.1995 № 33 «Об особо охраняемых природных территориях» не устанавливает полномочия органов государственной власти субъектов Российской Федерации по изменению площади и границ ООПТ, однако закрепляет полномочия органов государственной власти субъектов Российской Федерации по принятию решений об изменении режима их особой охраны по согласованию с уполномоченным федеральным органом исполнительной власти. При этом, согласно позиции Минприроды Российской Федерации, изложенной в письме от 04.05.2023 № 15-31/16619, изменение границ ООПТ также является изменением режима их охраны. То есть регулирование вопросов изменения площади и границ ООПТ осуществляется регионами в рамках регулирования вопросов изменения режима охраны ООПТ.</w:t>
      </w:r>
    </w:p>
    <w:p>
      <w:pPr>
        <w:pStyle w:val="HTMLPreformatted"/>
        <w:spacing w:lineRule="auto" w:line="360"/>
        <w:ind w:firstLine="851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cs="PT Astra Serif" w:ascii="PT Astra Serif" w:hAnsi="PT Astra Serif"/>
          <w:bCs/>
          <w:sz w:val="28"/>
          <w:szCs w:val="28"/>
        </w:rPr>
        <w:t xml:space="preserve">Следуя общей тенденции правового регулирования в области охраны окружающей среды, в части изменения площади и границ </w:t>
      </w:r>
      <w:r>
        <w:rPr>
          <w:rFonts w:cs="PT Astra Serif" w:ascii="PT Astra Serif" w:hAnsi="PT Astra Serif"/>
          <w:bCs/>
          <w:sz w:val="28"/>
          <w:szCs w:val="28"/>
          <w:lang w:val="ru-RU"/>
        </w:rPr>
        <w:t>ООПТ</w:t>
      </w:r>
      <w:r>
        <w:rPr>
          <w:rFonts w:cs="PT Astra Serif" w:ascii="PT Astra Serif" w:hAnsi="PT Astra Serif"/>
          <w:bCs/>
          <w:sz w:val="28"/>
          <w:szCs w:val="28"/>
        </w:rPr>
        <w:t xml:space="preserve">, </w:t>
      </w:r>
      <w:r>
        <w:rPr>
          <w:rFonts w:cs="PT Astra Serif" w:ascii="PT Astra Serif" w:hAnsi="PT Astra Serif"/>
          <w:sz w:val="28"/>
          <w:szCs w:val="28"/>
          <w:lang w:val="ru-RU"/>
        </w:rPr>
        <w:t>Закон № 127-ЗО предлагается дополнить нормой, согласно которой в случае изменения режима охраны особо охраняемых природных территорий не допускается изменение площади и границ, в результате которого исключаются территории, ранее входящие в состав особо охраняемых природных территорий.</w:t>
      </w:r>
    </w:p>
    <w:p>
      <w:pPr>
        <w:pStyle w:val="HTMLPreformatted"/>
        <w:spacing w:lineRule="auto" w:line="360"/>
        <w:ind w:firstLine="737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Предметом правового регулирования законопроекта является отношения в области организации, охраны и использования </w:t>
      </w:r>
      <w:r>
        <w:rPr>
          <w:rFonts w:cs="PT Astra Serif" w:ascii="PT Astra Serif" w:hAnsi="PT Astra Serif"/>
          <w:sz w:val="28"/>
          <w:szCs w:val="28"/>
          <w:lang w:val="ru-RU"/>
        </w:rPr>
        <w:t>ООПТ</w:t>
      </w:r>
      <w:r>
        <w:rPr>
          <w:rFonts w:cs="PT Astra Serif" w:ascii="PT Astra Serif" w:hAnsi="PT Astra Serif"/>
          <w:sz w:val="28"/>
          <w:szCs w:val="28"/>
        </w:rPr>
        <w:t xml:space="preserve"> регионального значения.</w:t>
      </w:r>
    </w:p>
    <w:p>
      <w:pPr>
        <w:pStyle w:val="HTMLPreformatted"/>
        <w:spacing w:lineRule="auto" w:line="360"/>
        <w:ind w:firstLine="737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cs="PT Astra Serif" w:ascii="PT Astra Serif" w:hAnsi="PT Astra Serif"/>
          <w:sz w:val="28"/>
          <w:szCs w:val="28"/>
          <w:lang w:val="ru-RU"/>
        </w:rPr>
        <w:t xml:space="preserve">Круг лиц, на которых будет распространяться действие законопроекта, юридические и физические лица, которые осуществляют экономическую и иную деятельность на ООПТ. </w:t>
      </w:r>
    </w:p>
    <w:p>
      <w:pPr>
        <w:pStyle w:val="HTMLPreformatted"/>
        <w:spacing w:lineRule="auto" w:line="360"/>
        <w:ind w:firstLine="737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</w:rPr>
        <w:t xml:space="preserve">Принятие законопроекта позволит ограничить возможность </w:t>
      </w:r>
      <w:r>
        <w:rPr>
          <w:rFonts w:ascii="PT Astra Serif" w:hAnsi="PT Astra Serif"/>
          <w:sz w:val="28"/>
          <w:szCs w:val="28"/>
          <w:lang w:val="ru-RU"/>
        </w:rPr>
        <w:t xml:space="preserve">безосновательного </w:t>
      </w:r>
      <w:r>
        <w:rPr>
          <w:rFonts w:ascii="PT Astra Serif" w:hAnsi="PT Astra Serif"/>
          <w:sz w:val="28"/>
          <w:szCs w:val="28"/>
        </w:rPr>
        <w:t>изъятия земель природно-заповедного фонда</w:t>
      </w:r>
      <w:r>
        <w:rPr>
          <w:rFonts w:ascii="PT Astra Serif" w:hAnsi="PT Astra Serif"/>
          <w:sz w:val="28"/>
          <w:szCs w:val="28"/>
          <w:lang w:val="ru-RU"/>
        </w:rPr>
        <w:t>.</w:t>
      </w:r>
    </w:p>
    <w:p>
      <w:pPr>
        <w:pStyle w:val="Normal"/>
        <w:widowControl w:val="false"/>
        <w:shd w:val="clear" w:color="auto" w:fill="FFFFFF"/>
        <w:spacing w:lineRule="auto" w:line="360" w:before="0" w:after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cs="PT Astra Serif" w:ascii="PT Astra Serif" w:hAnsi="PT Astra Serif"/>
          <w:bCs/>
          <w:sz w:val="28"/>
          <w:szCs w:val="28"/>
        </w:rPr>
        <w:t>На законопроект от департамента правовой работы Министерства природных ресурсов и экологии Ульяновской области получено положительное правовое заключение.</w:t>
      </w:r>
    </w:p>
    <w:p>
      <w:pPr>
        <w:pStyle w:val="221"/>
        <w:spacing w:lineRule="auto" w:line="360" w:before="0" w:after="0"/>
        <w:ind w:firstLine="720" w:left="0"/>
        <w:jc w:val="both"/>
        <w:rPr/>
      </w:pPr>
      <w:r>
        <w:rPr>
          <w:rFonts w:cs="PT Astra Serif" w:ascii="PT Astra Serif" w:hAnsi="PT Astra Serif"/>
          <w:bCs/>
          <w:sz w:val="28"/>
          <w:szCs w:val="28"/>
        </w:rPr>
        <w:t>Ответственное должностное лицо за разработку законопроекта – главный консультант отдела водных ресурсов и развития особо охраняемых природных территорий департамента природопользования и экологии Ульяновской области Министерства природных ресурсов и экологии Ульяновской области</w:t>
      </w:r>
      <w:r>
        <w:rPr>
          <w:rFonts w:cs="PT Astra Serif" w:ascii="PT Astra Serif" w:hAnsi="PT Astra Serif"/>
          <w:sz w:val="28"/>
          <w:szCs w:val="28"/>
        </w:rPr>
        <w:t xml:space="preserve"> Артемьева К.Ю.                                                                                     </w:t>
      </w:r>
      <w:r>
        <w:rPr>
          <w:rFonts w:eastAsia="PT Astra Serif" w:cs="PT Astra Serif" w:ascii="PT Astra Serif" w:hAnsi="PT Astra Serif"/>
          <w:sz w:val="28"/>
          <w:szCs w:val="28"/>
        </w:rPr>
        <w:t xml:space="preserve">            </w:t>
      </w:r>
    </w:p>
    <w:tbl>
      <w:tblPr>
        <w:tblW w:w="9854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000" w:noHBand="0" w:noVBand="0" w:firstColumn="0" w:lastRow="0" w:lastColumn="0" w:firstRow="0"/>
      </w:tblPr>
      <w:tblGrid>
        <w:gridCol w:w="5064"/>
        <w:gridCol w:w="1505"/>
        <w:gridCol w:w="3285"/>
      </w:tblGrid>
      <w:tr>
        <w:trPr>
          <w:trHeight w:val="1695" w:hRule="atLeast"/>
        </w:trPr>
        <w:tc>
          <w:tcPr>
            <w:tcW w:w="5064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Fonts w:cs="PT Astra Serif" w:ascii="PT Astra Serif" w:hAnsi="PT Astra Serif"/>
                <w:sz w:val="28"/>
                <w:szCs w:val="28"/>
              </w:rPr>
              <w:t>Исполняющий обязанности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Fonts w:cs="PT Astra Serif" w:ascii="PT Astra Serif" w:hAnsi="PT Astra Serif"/>
                <w:sz w:val="28"/>
                <w:szCs w:val="28"/>
              </w:rPr>
              <w:t>Министра природных ресурсов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Fonts w:cs="PT Astra Serif" w:ascii="PT Astra Serif" w:hAnsi="PT Astra Serif"/>
                <w:sz w:val="28"/>
                <w:szCs w:val="28"/>
              </w:rPr>
              <w:t>и экологии Ульяновской области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cs="PT Astra Serif" w:ascii="PT Astra Serif" w:hAnsi="PT Astra Serif"/>
                <w:sz w:val="28"/>
                <w:szCs w:val="28"/>
              </w:rPr>
            </w:r>
          </w:p>
        </w:tc>
        <w:tc>
          <w:tcPr>
            <w:tcW w:w="328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 w:before="0" w:after="0"/>
              <w:ind w:firstLine="709"/>
              <w:jc w:val="both"/>
              <w:rPr>
                <w:rFonts w:ascii="PT Astra Serif" w:hAnsi="PT Astra Serif" w:eastAsia="PT Astra Serif" w:cs="PT Astra Serif"/>
                <w:sz w:val="28"/>
                <w:szCs w:val="28"/>
              </w:rPr>
            </w:pPr>
            <w:r>
              <w:rPr>
                <w:rFonts w:eastAsia="PT Astra Serif"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PT Astra Serif" w:hAnsi="PT Astra Serif" w:eastAsia="PT Astra Serif" w:cs="PT Astra Serif"/>
                <w:sz w:val="28"/>
                <w:szCs w:val="28"/>
              </w:rPr>
            </w:pPr>
            <w:r>
              <w:rPr>
                <w:rFonts w:eastAsia="PT Astra Serif"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PT Astra Serif" w:hAnsi="PT Astra Serif" w:eastAsia="PT Astra Serif" w:cs="PT Astra Serif"/>
                <w:sz w:val="28"/>
                <w:szCs w:val="28"/>
              </w:rPr>
            </w:pPr>
            <w:r>
              <w:rPr>
                <w:rFonts w:eastAsia="PT Astra Serif"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PT Astra Serif" w:hAnsi="PT Astra Serif" w:eastAsia="PT Astra Serif" w:cs="PT Astra Serif"/>
                <w:sz w:val="28"/>
                <w:szCs w:val="28"/>
              </w:rPr>
            </w:pPr>
            <w:r>
              <w:rPr>
                <w:rFonts w:eastAsia="PT Astra Serif" w:cs="PT Astra Serif" w:ascii="PT Astra Serif" w:hAnsi="PT Astra Serif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right"/>
              <w:rPr/>
            </w:pPr>
            <w:r>
              <w:rPr>
                <w:rFonts w:eastAsia="PT Astra Serif" w:cs="PT Astra Serif" w:ascii="PT Astra Serif" w:hAnsi="PT Astra Serif"/>
                <w:sz w:val="28"/>
                <w:szCs w:val="28"/>
              </w:rPr>
              <w:t xml:space="preserve">          </w:t>
            </w:r>
            <w:r>
              <w:rPr>
                <w:rFonts w:eastAsia="PT Astra Serif" w:cs="PT Astra Serif" w:ascii="PT Astra Serif" w:hAnsi="PT Astra Serif"/>
                <w:sz w:val="28"/>
                <w:szCs w:val="28"/>
              </w:rPr>
              <w:t>Е.А.Черкасов</w:t>
            </w:r>
          </w:p>
        </w:tc>
      </w:tr>
    </w:tbl>
    <w:p>
      <w:pPr>
        <w:pStyle w:val="Heading2"/>
        <w:numPr>
          <w:ilvl w:val="1"/>
          <w:numId w:val="1"/>
        </w:numPr>
        <w:spacing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701" w:right="567" w:gutter="0" w:header="708" w:top="1313" w:footer="720" w:bottom="87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cs="PT Astra Serif" w:ascii="PT Astra Serif" w:hAnsi="PT Astra Serif"/>
        <w:sz w:val="28"/>
        <w:szCs w:val="28"/>
      </w:rPr>
      <w:fldChar w:fldCharType="begin"/>
    </w:r>
    <w:r>
      <w:rPr>
        <w:sz w:val="28"/>
        <w:szCs w:val="28"/>
        <w:rFonts w:cs="PT Astra Serif" w:ascii="PT Astra Serif" w:hAnsi="PT Astra Serif"/>
      </w:rPr>
      <w:instrText xml:space="preserve"> PAGE </w:instrText>
    </w:r>
    <w:r>
      <w:rPr>
        <w:sz w:val="28"/>
        <w:szCs w:val="28"/>
        <w:rFonts w:cs="PT Astra Serif" w:ascii="PT Astra Serif" w:hAnsi="PT Astra Serif"/>
      </w:rPr>
      <w:fldChar w:fldCharType="separate"/>
    </w:r>
    <w:r>
      <w:rPr>
        <w:sz w:val="28"/>
        <w:szCs w:val="28"/>
        <w:rFonts w:cs="PT Astra Serif" w:ascii="PT Astra Serif" w:hAnsi="PT Astra Serif"/>
      </w:rPr>
      <w:t>2</w:t>
    </w:r>
    <w:r>
      <w:rPr>
        <w:sz w:val="28"/>
        <w:szCs w:val="28"/>
        <w:rFonts w:cs="PT Astra Serif" w:ascii="PT Astra Serif" w:hAnsi="PT Astra Serif"/>
      </w:rPr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Fonts w:cs="PT Astra Serif" w:ascii="PT Astra Serif" w:hAnsi="PT Astra Serif"/>
        <w:sz w:val="28"/>
        <w:szCs w:val="28"/>
      </w:rPr>
      <w:fldChar w:fldCharType="begin"/>
    </w:r>
    <w:r>
      <w:rPr>
        <w:sz w:val="28"/>
        <w:szCs w:val="28"/>
        <w:rFonts w:cs="PT Astra Serif" w:ascii="PT Astra Serif" w:hAnsi="PT Astra Serif"/>
      </w:rPr>
      <w:instrText xml:space="preserve"> PAGE </w:instrText>
    </w:r>
    <w:r>
      <w:rPr>
        <w:sz w:val="28"/>
        <w:szCs w:val="28"/>
        <w:rFonts w:cs="PT Astra Serif" w:ascii="PT Astra Serif" w:hAnsi="PT Astra Serif"/>
      </w:rPr>
      <w:fldChar w:fldCharType="separate"/>
    </w:r>
    <w:r>
      <w:rPr>
        <w:sz w:val="28"/>
        <w:szCs w:val="28"/>
        <w:rFonts w:cs="PT Astra Serif" w:ascii="PT Astra Serif" w:hAnsi="PT Astra Serif"/>
      </w:rPr>
      <w:t>2</w:t>
    </w:r>
    <w:r>
      <w:rPr>
        <w:sz w:val="28"/>
        <w:szCs w:val="28"/>
        <w:rFonts w:cs="PT Astra Serif" w:ascii="PT Astra Serif" w:hAnsi="PT Astra Serif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ar-SA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lineRule="auto" w:line="240" w:before="280" w:after="28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2" w:customStyle="1">
    <w:name w:val="Основной шрифт абзаца2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cs="Times New Roman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1" w:customStyle="1">
    <w:name w:val="Основной шрифт абзаца1"/>
    <w:qFormat/>
    <w:rPr/>
  </w:style>
  <w:style w:type="character" w:styleId="Hyperlink">
    <w:name w:val="Hyperlink"/>
    <w:rPr>
      <w:color w:val="0000FF"/>
      <w:u w:val="single"/>
    </w:rPr>
  </w:style>
  <w:style w:type="character" w:styleId="ConsPlusNormal" w:customStyle="1">
    <w:name w:val="ConsPlusNormal Знак"/>
    <w:qFormat/>
    <w:rPr>
      <w:rFonts w:eastAsia="Times New Roman" w:cs="Calibri"/>
      <w:lang w:bidi="ar-SA"/>
    </w:rPr>
  </w:style>
  <w:style w:type="character" w:styleId="11" w:customStyle="1">
    <w:name w:val="Обычный (веб) Знак1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3" w:customStyle="1">
    <w:name w:val="Верхний колонтитул Знак"/>
    <w:basedOn w:val="1"/>
    <w:qFormat/>
    <w:rPr/>
  </w:style>
  <w:style w:type="character" w:styleId="Style14" w:customStyle="1">
    <w:name w:val="Нижний колонтитул Знак"/>
    <w:basedOn w:val="1"/>
    <w:qFormat/>
    <w:rPr/>
  </w:style>
  <w:style w:type="character" w:styleId="21" w:customStyle="1">
    <w:name w:val="Заголовок 2 Знак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qFormat/>
    <w:rPr>
      <w:rFonts w:ascii="Courier New" w:hAnsi="Courier New" w:eastAsia="Times New Roman" w:cs="Courier New"/>
    </w:rPr>
  </w:style>
  <w:style w:type="character" w:styleId="Layout" w:customStyle="1">
    <w:name w:val="layout"/>
    <w:qFormat/>
    <w:rPr/>
  </w:style>
  <w:style w:type="character" w:styleId="22" w:customStyle="1">
    <w:name w:val="Основной текст с отступом 2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Основной текст Знак"/>
    <w:qFormat/>
    <w:rPr>
      <w:sz w:val="22"/>
      <w:szCs w:val="22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lang w:val="x-none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12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3" w:customStyle="1">
    <w:name w:val="Название объекта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41" w:customStyle="1">
    <w:name w:val="Указатель4"/>
    <w:basedOn w:val="Normal"/>
    <w:qFormat/>
    <w:pPr>
      <w:suppressLineNumbers/>
    </w:pPr>
    <w:rPr>
      <w:rFonts w:cs="Arial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" w:customStyle="1">
    <w:name w:val="Caption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" w:customStyle="1">
    <w:name w:val="Caption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" w:customStyle="1">
    <w:name w:val="Caption1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1" w:customStyle="1">
    <w:name w:val="Caption11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11" w:customStyle="1">
    <w:name w:val="Caption111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111" w:customStyle="1">
    <w:name w:val="Caption1111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1111" w:customStyle="1">
    <w:name w:val="Caption1111111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11111111" w:customStyle="1">
    <w:name w:val="Caption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" w:customStyle="1">
    <w:name w:val="Caption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31" w:customStyle="1">
    <w:name w:val="Заголовок3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32" w:customStyle="1">
    <w:name w:val="Название объекта3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33" w:customStyle="1">
    <w:name w:val="Указатель3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3" w:customStyle="1">
    <w:name w:val="Заголовок2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24" w:customStyle="1">
    <w:name w:val="Название объекта2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25" w:customStyle="1">
    <w:name w:val="Указатель2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4" w:customStyle="1">
    <w:name w:val="Указатель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val="x-none"/>
    </w:rPr>
  </w:style>
  <w:style w:type="paragraph" w:styleId="ConsPlusNormal1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0"/>
      <w:szCs w:val="20"/>
      <w:lang w:val="ru-RU" w:eastAsia="zh-CN" w:bidi="ar-SA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Style19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 w:customStyle="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pacing w:lineRule="auto" w:line="240" w:before="0" w:after="0"/>
    </w:pPr>
    <w:rPr/>
  </w:style>
  <w:style w:type="paragraph" w:styleId="Headertext" w:customStyle="1">
    <w:name w:val="headertext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Formattext" w:customStyle="1">
    <w:name w:val="formattext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ConsPlusCell" w:customStyle="1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Footer">
    <w:name w:val="Footer"/>
    <w:basedOn w:val="Normal"/>
    <w:pPr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x-none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x-none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firstLine="720" w:right="19772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zh-CN" w:bidi="ar-SA"/>
    </w:rPr>
  </w:style>
  <w:style w:type="paragraph" w:styleId="Msonormalmrcssattr" w:customStyle="1">
    <w:name w:val="msonormal_mr_css_attr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211" w:customStyle="1">
    <w:name w:val="Основной текст с отступом 21"/>
    <w:basedOn w:val="Normal"/>
    <w:qFormat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  <w:lang w:val="x-none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221" w:customStyle="1">
    <w:name w:val="Основной текст с отступом 22"/>
    <w:basedOn w:val="Normal"/>
    <w:qFormat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  <w:lang w:val="x-none"/>
    </w:rPr>
  </w:style>
  <w:style w:type="paragraph" w:styleId="Style23" w:customStyle="1">
    <w:name w:val="Верхний колонтитул слева"/>
    <w:basedOn w:val="Header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LibreOffice/7.6.6.3$Linux_X86_64 LibreOffice_project/60$Build-3</Application>
  <AppVersion>15.0000</AppVersion>
  <Pages>2</Pages>
  <Words>382</Words>
  <Characters>2787</Characters>
  <CharactersWithSpaces>3263</CharactersWithSpaces>
  <Paragraphs>17</Paragraphs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2025-04-21T10:51:00Z</dcterms:created>
  <dc:creator>Лариса Николаевна Смирнова</dc:creator>
  <dc:description/>
  <dc:language>ru-RU</dc:language>
  <cp:lastModifiedBy/>
  <cp:lastPrinted>2025-05-07T17:34:48Z</cp:lastPrinted>
  <dcterms:modified xsi:type="dcterms:W3CDTF">2025-05-07T17:36:04Z</dcterms:modified>
  <cp:revision>6</cp:revision>
  <dc:subject/>
  <dc:title>Закон Ульяновской области от 02.11.2020 N 127-ЗО(ред. от 16.12.2024)"Об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области"(принят ЗС Ульяновской области 28.10.2020)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